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06" w:rsidRPr="00B24F1F" w:rsidRDefault="00DF7606" w:rsidP="00DF760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 </w:t>
      </w:r>
    </w:p>
    <w:p w:rsidR="00DF7606" w:rsidRDefault="00DF7606" w:rsidP="00DF760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F1F">
        <w:rPr>
          <w:rFonts w:ascii="Times New Roman" w:hAnsi="Times New Roman" w:cs="Times New Roman"/>
          <w:b/>
          <w:sz w:val="28"/>
          <w:szCs w:val="24"/>
        </w:rPr>
        <w:t>организаций социального обслуживания</w:t>
      </w:r>
    </w:p>
    <w:p w:rsidR="00DF7606" w:rsidRPr="00B24F1F" w:rsidRDefault="00DF7606" w:rsidP="00DF760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Удмуртской Республике в 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B24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году</w:t>
      </w:r>
    </w:p>
    <w:p w:rsidR="00DF7606" w:rsidRPr="0089485A" w:rsidRDefault="00DF7606" w:rsidP="00DF7606">
      <w:pPr>
        <w:pStyle w:val="1"/>
        <w:rPr>
          <w:rFonts w:eastAsia="Century Gothic"/>
        </w:rPr>
      </w:pPr>
      <w:r w:rsidRPr="0089485A">
        <w:rPr>
          <w:rFonts w:eastAsia="Century Gothic"/>
          <w:noProof/>
          <w:lang w:eastAsia="ru-RU"/>
        </w:rPr>
        <w:drawing>
          <wp:inline distT="0" distB="0" distL="0" distR="0">
            <wp:extent cx="5924550" cy="795337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7606" w:rsidRDefault="00DF7606" w:rsidP="00DF7606">
      <w:pPr>
        <w:spacing w:line="360" w:lineRule="auto"/>
        <w:jc w:val="both"/>
        <w:rPr>
          <w:rFonts w:eastAsia="Century Gothic"/>
          <w:sz w:val="28"/>
          <w:szCs w:val="28"/>
        </w:rPr>
      </w:pPr>
    </w:p>
    <w:p w:rsidR="00DF7606" w:rsidRDefault="00DF7606" w:rsidP="00DF7606">
      <w:pPr>
        <w:spacing w:line="360" w:lineRule="auto"/>
        <w:jc w:val="both"/>
        <w:rPr>
          <w:rFonts w:eastAsia="Century Gothic"/>
          <w:sz w:val="28"/>
          <w:szCs w:val="28"/>
        </w:rPr>
      </w:pPr>
    </w:p>
    <w:p w:rsidR="00DF7606" w:rsidRDefault="00DF7606" w:rsidP="00DF7606">
      <w:pPr>
        <w:spacing w:line="360" w:lineRule="auto"/>
        <w:jc w:val="center"/>
        <w:rPr>
          <w:rFonts w:eastAsia="Century Gothic"/>
          <w:sz w:val="28"/>
          <w:szCs w:val="28"/>
        </w:rPr>
      </w:pPr>
    </w:p>
    <w:p w:rsidR="00DF7606" w:rsidRPr="0089485A" w:rsidRDefault="00DF7606" w:rsidP="00DF7606">
      <w:pPr>
        <w:spacing w:line="360" w:lineRule="auto"/>
        <w:jc w:val="center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>Индивидуальные значения по каждому критерию</w:t>
      </w:r>
      <w:r w:rsidRPr="0089485A">
        <w:rPr>
          <w:rFonts w:eastAsia="Century Gothic"/>
          <w:sz w:val="28"/>
          <w:szCs w:val="28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48"/>
        <w:gridCol w:w="789"/>
        <w:gridCol w:w="790"/>
        <w:gridCol w:w="790"/>
        <w:gridCol w:w="789"/>
        <w:gridCol w:w="790"/>
        <w:gridCol w:w="790"/>
        <w:gridCol w:w="790"/>
      </w:tblGrid>
      <w:tr w:rsidR="00DF7606" w:rsidRPr="0089485A" w:rsidTr="00DF7606">
        <w:trPr>
          <w:trHeight w:val="567"/>
          <w:tblHeader/>
          <w:jc w:val="center"/>
        </w:trPr>
        <w:tc>
          <w:tcPr>
            <w:tcW w:w="567" w:type="dxa"/>
            <w:shd w:val="clear" w:color="000000" w:fill="FBE3CE"/>
          </w:tcPr>
          <w:p w:rsidR="00DF7606" w:rsidRPr="0089485A" w:rsidRDefault="00DF7606" w:rsidP="00DF76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48" w:type="dxa"/>
            <w:shd w:val="clear" w:color="000000" w:fill="FBE3CE"/>
            <w:noWrap/>
            <w:vAlign w:val="center"/>
            <w:hideMark/>
          </w:tcPr>
          <w:p w:rsidR="00DF7606" w:rsidRPr="0089485A" w:rsidRDefault="00DF7606" w:rsidP="008F0016">
            <w:pPr>
              <w:jc w:val="center"/>
              <w:rPr>
                <w:b/>
                <w:bCs/>
                <w:sz w:val="22"/>
                <w:szCs w:val="22"/>
              </w:rPr>
            </w:pPr>
            <w:r w:rsidRPr="0089485A">
              <w:rPr>
                <w:b/>
                <w:bCs/>
                <w:sz w:val="22"/>
                <w:szCs w:val="22"/>
              </w:rPr>
              <w:t>Наименование учреждения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DF7606" w:rsidRPr="0089485A" w:rsidRDefault="00DF7606" w:rsidP="008F00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485A">
              <w:rPr>
                <w:b/>
                <w:bCs/>
                <w:color w:val="000000"/>
                <w:sz w:val="22"/>
                <w:szCs w:val="22"/>
              </w:rPr>
              <w:t>Крит1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DF7606" w:rsidRPr="0089485A" w:rsidRDefault="00DF7606" w:rsidP="008F00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485A">
              <w:rPr>
                <w:b/>
                <w:bCs/>
                <w:color w:val="000000"/>
                <w:sz w:val="22"/>
                <w:szCs w:val="22"/>
              </w:rPr>
              <w:t>Крит2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DF7606" w:rsidRPr="0089485A" w:rsidRDefault="00DF7606" w:rsidP="008F0016">
            <w:pPr>
              <w:jc w:val="center"/>
              <w:rPr>
                <w:b/>
                <w:bCs/>
                <w:sz w:val="22"/>
                <w:szCs w:val="22"/>
              </w:rPr>
            </w:pPr>
            <w:r w:rsidRPr="0089485A">
              <w:rPr>
                <w:b/>
                <w:bCs/>
                <w:sz w:val="22"/>
                <w:szCs w:val="22"/>
              </w:rPr>
              <w:t>Крит3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DF7606" w:rsidRPr="0089485A" w:rsidRDefault="00DF7606" w:rsidP="008F00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485A">
              <w:rPr>
                <w:b/>
                <w:bCs/>
                <w:color w:val="000000"/>
                <w:sz w:val="22"/>
                <w:szCs w:val="22"/>
              </w:rPr>
              <w:t>Крит4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DF7606" w:rsidRPr="0089485A" w:rsidRDefault="00DF7606" w:rsidP="008F00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485A">
              <w:rPr>
                <w:b/>
                <w:bCs/>
                <w:color w:val="000000"/>
                <w:sz w:val="22"/>
                <w:szCs w:val="22"/>
              </w:rPr>
              <w:t>Крит5</w:t>
            </w:r>
          </w:p>
        </w:tc>
        <w:tc>
          <w:tcPr>
            <w:tcW w:w="790" w:type="dxa"/>
            <w:shd w:val="clear" w:color="000000" w:fill="56C5F3"/>
            <w:noWrap/>
            <w:vAlign w:val="center"/>
            <w:hideMark/>
          </w:tcPr>
          <w:p w:rsidR="00DF7606" w:rsidRPr="00DF7606" w:rsidRDefault="00DF7606" w:rsidP="008F0016">
            <w:pPr>
              <w:jc w:val="center"/>
              <w:rPr>
                <w:b/>
                <w:bCs/>
                <w:color w:val="000000" w:themeColor="text1"/>
                <w:szCs w:val="22"/>
              </w:rPr>
            </w:pPr>
            <w:r w:rsidRPr="00DF7606">
              <w:rPr>
                <w:b/>
                <w:bCs/>
                <w:color w:val="000000" w:themeColor="text1"/>
                <w:szCs w:val="22"/>
              </w:rPr>
              <w:t>ИТОГ</w:t>
            </w:r>
          </w:p>
          <w:p w:rsidR="00DF7606" w:rsidRPr="00894C2D" w:rsidRDefault="00DF7606" w:rsidP="008F00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DF7606" w:rsidRPr="00894C2D" w:rsidRDefault="00DF7606" w:rsidP="008F00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94C2D">
              <w:rPr>
                <w:b/>
                <w:bCs/>
                <w:color w:val="000000" w:themeColor="text1"/>
                <w:sz w:val="22"/>
                <w:szCs w:val="22"/>
              </w:rPr>
              <w:t>Рейтинг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bookmarkStart w:id="0" w:name="_Hlk153507695"/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DF7606" w:rsidRPr="00F707E6" w:rsidRDefault="00DF7606" w:rsidP="008F001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Автономное учреждение Удмуртской Республики «Загородный оздоровительный комплекс «Лесная сказка»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99,3</w:t>
            </w:r>
          </w:p>
        </w:tc>
        <w:tc>
          <w:tcPr>
            <w:tcW w:w="790" w:type="dxa"/>
            <w:shd w:val="clear" w:color="000000" w:fill="56C5F3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99,42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1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DF7606" w:rsidRPr="00F707E6" w:rsidRDefault="00DF7606" w:rsidP="008F001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Бюджетное учреждение социального обслуживания Удмуртской Республики «Республиканский комплексный центр социального обслуживания населения»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56C5F3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99,20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2-3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DF7606" w:rsidRPr="00F707E6" w:rsidRDefault="00DF7606" w:rsidP="008F0016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Автономное учреждение социального обслуживания Удмуртской Республики «Республиканский центр социальной реабилитации и адаптации»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  <w:tc>
          <w:tcPr>
            <w:tcW w:w="790" w:type="dxa"/>
            <w:shd w:val="clear" w:color="000000" w:fill="56C5F3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99,20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2-3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DF7606" w:rsidRPr="00F707E6" w:rsidRDefault="00DF7606" w:rsidP="008F001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Автономное учреждение социального обслуживания Удмуртской Республики «Республиканский реабилитационный центр для детей и подростков с ограниченными возможностями»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98,7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56C5F3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99,02</w:t>
            </w:r>
          </w:p>
        </w:tc>
        <w:tc>
          <w:tcPr>
            <w:tcW w:w="790" w:type="dxa"/>
            <w:shd w:val="clear" w:color="auto" w:fill="auto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4-6</w:t>
            </w:r>
          </w:p>
        </w:tc>
      </w:tr>
      <w:bookmarkEnd w:id="0"/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DF7606" w:rsidRPr="00F707E6" w:rsidRDefault="00DF7606" w:rsidP="008F00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Автономное учреждение социального обслуживания Удмуртской Республики «Республиканский социально-реабилитационный центр для граждан пожилого возраста и инвалидов»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99,7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98,4</w:t>
            </w:r>
          </w:p>
        </w:tc>
        <w:tc>
          <w:tcPr>
            <w:tcW w:w="790" w:type="dxa"/>
            <w:shd w:val="clear" w:color="000000" w:fill="56C5F3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99,02</w:t>
            </w:r>
          </w:p>
        </w:tc>
        <w:tc>
          <w:tcPr>
            <w:tcW w:w="790" w:type="dxa"/>
            <w:shd w:val="clear" w:color="auto" w:fill="auto"/>
            <w:noWrap/>
          </w:tcPr>
          <w:p w:rsidR="00DF7606" w:rsidRPr="00F707E6" w:rsidRDefault="00DF7606" w:rsidP="008F0016">
            <w:pPr>
              <w:jc w:val="center"/>
              <w:rPr>
                <w:rFonts w:eastAsia="Calibri"/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4-6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DF7606" w:rsidRPr="00F707E6" w:rsidRDefault="00DF7606" w:rsidP="008F001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Автономное стационарное учреждение социального обслуживания Удмуртской Республики «Республиканский дом-интернат для престарелых и инвалидов»</w:t>
            </w:r>
          </w:p>
        </w:tc>
        <w:tc>
          <w:tcPr>
            <w:tcW w:w="789" w:type="dxa"/>
            <w:shd w:val="clear" w:color="000000" w:fill="FFFFFF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99,3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98,4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98,4</w:t>
            </w:r>
          </w:p>
        </w:tc>
        <w:tc>
          <w:tcPr>
            <w:tcW w:w="790" w:type="dxa"/>
            <w:shd w:val="clear" w:color="000000" w:fill="56C5F3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99,02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4-6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DF7606" w:rsidRPr="00F707E6" w:rsidRDefault="00DF7606" w:rsidP="008F0016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Казенное учреждение социального обслуживания Удмуртской Республики «Республиканский социально-реабилитационный центр для несовершеннолетних»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92,0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  <w:tc>
          <w:tcPr>
            <w:tcW w:w="790" w:type="dxa"/>
            <w:shd w:val="clear" w:color="000000" w:fill="56C5F3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97,76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7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DF7606" w:rsidRPr="00F707E6" w:rsidRDefault="00DF7606" w:rsidP="008F0016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Казенное учреждение здравоохранения Удмуртской Республики «Республиканский специализированный психоневрологический дом ребенка»</w:t>
            </w:r>
          </w:p>
        </w:tc>
        <w:tc>
          <w:tcPr>
            <w:tcW w:w="789" w:type="dxa"/>
            <w:shd w:val="clear" w:color="000000" w:fill="FFFFFF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73,3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96,0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790" w:type="dxa"/>
            <w:shd w:val="clear" w:color="000000" w:fill="56C5F3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93,46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8</w:t>
            </w:r>
          </w:p>
        </w:tc>
      </w:tr>
    </w:tbl>
    <w:p w:rsidR="00DF7606" w:rsidRDefault="00DF7606" w:rsidP="00DF7606">
      <w:pPr>
        <w:spacing w:line="360" w:lineRule="auto"/>
        <w:jc w:val="both"/>
        <w:rPr>
          <w:rFonts w:eastAsia="Century Gothic"/>
          <w:sz w:val="28"/>
          <w:szCs w:val="28"/>
        </w:rPr>
      </w:pPr>
    </w:p>
    <w:p w:rsidR="005749C5" w:rsidRDefault="00DF7606" w:rsidP="00DF7606">
      <w:pPr>
        <w:jc w:val="center"/>
      </w:pPr>
      <w:r>
        <w:t>___________</w:t>
      </w:r>
      <w:bookmarkStart w:id="1" w:name="_GoBack"/>
      <w:bookmarkEnd w:id="1"/>
    </w:p>
    <w:sectPr w:rsidR="005749C5" w:rsidSect="00DF76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3400"/>
    <w:multiLevelType w:val="hybridMultilevel"/>
    <w:tmpl w:val="20607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B9C"/>
    <w:rsid w:val="003364C3"/>
    <w:rsid w:val="004C1B3F"/>
    <w:rsid w:val="0071181C"/>
    <w:rsid w:val="009C3192"/>
    <w:rsid w:val="00DF7606"/>
    <w:rsid w:val="00E63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2"/>
    <w:next w:val="a"/>
    <w:link w:val="10"/>
    <w:uiPriority w:val="9"/>
    <w:qFormat/>
    <w:rsid w:val="00DF7606"/>
    <w:pPr>
      <w:keepLines w:val="0"/>
      <w:spacing w:before="240" w:after="60" w:line="360" w:lineRule="auto"/>
      <w:jc w:val="center"/>
      <w:outlineLvl w:val="0"/>
    </w:pPr>
    <w:rPr>
      <w:rFonts w:ascii="Times New Roman" w:eastAsia="Calibri" w:hAnsi="Times New Roman" w:cs="Times New Roman"/>
      <w:b/>
      <w:bCs/>
      <w:i/>
      <w:iCs/>
      <w:color w:val="0D594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6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606"/>
    <w:rPr>
      <w:rFonts w:ascii="Times New Roman" w:eastAsia="Calibri" w:hAnsi="Times New Roman" w:cs="Times New Roman"/>
      <w:b/>
      <w:bCs/>
      <w:i/>
      <w:iCs/>
      <w:color w:val="0D594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76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aliases w:val="Bullet List,FooterText,numbered"/>
    <w:basedOn w:val="a"/>
    <w:link w:val="a4"/>
    <w:uiPriority w:val="34"/>
    <w:qFormat/>
    <w:rsid w:val="00DF76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DF7606"/>
  </w:style>
  <w:style w:type="paragraph" w:styleId="a5">
    <w:name w:val="Balloon Text"/>
    <w:basedOn w:val="a"/>
    <w:link w:val="a6"/>
    <w:uiPriority w:val="99"/>
    <w:semiHidden/>
    <w:unhideWhenUsed/>
    <w:rsid w:val="007118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8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Интегральная оценка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6B-4887-866E-47236503253F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76B-4887-866E-47236503253F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76B-4887-866E-47236503253F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76B-4887-866E-47236503253F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76B-4887-866E-47236503253F}"/>
              </c:ext>
            </c:extLst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76B-4887-866E-47236503253F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76B-4887-866E-47236503253F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776B-4887-866E-4723650325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Автономное учреждение Удмуртской Республики «Загородный оздоровительный комплекс «Лесная сказка»</c:v>
                </c:pt>
                <c:pt idx="1">
                  <c:v>Бюджетное учреждение социального обслуживания Удмуртской Республики «Республиканский комплексный центр социального обслуживания населения»</c:v>
                </c:pt>
                <c:pt idx="2">
                  <c:v>Автономное учреждение социального обслуживания Удмуртской Республики «Республиканский центр социальной реабилитации и адаптации»</c:v>
                </c:pt>
                <c:pt idx="3">
                  <c:v>Автономное учреждение социального обслуживания Удмуртской Республики «Республиканский реабилитационный центр для детей и подростков с ограниченными возможностями»</c:v>
                </c:pt>
                <c:pt idx="4">
                  <c:v>Автономное учреждение социального обслуживания Удмуртской Республики «Республиканский социально-реабилитационный центр для граждан пожилого возраста и инвалидов»</c:v>
                </c:pt>
                <c:pt idx="5">
                  <c:v>Автономное стационарное учреждение социального обслуживания Удмуртской Республики «Республиканский дом-интернат для престарелых и инвалидов»</c:v>
                </c:pt>
                <c:pt idx="6">
                  <c:v>Казенное учреждение социального обслуживания Удмуртской Республики «Республиканский социально-реабилитационный центр для несовершеннолетних»</c:v>
                </c:pt>
                <c:pt idx="7">
                  <c:v>Казенное учреждение здравоохранения Удмуртской Республики «Республиканский специализированный психоневрологический дом ребенка»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99.42</c:v>
                </c:pt>
                <c:pt idx="1">
                  <c:v>99.2</c:v>
                </c:pt>
                <c:pt idx="2">
                  <c:v>99.2</c:v>
                </c:pt>
                <c:pt idx="3">
                  <c:v>99.02000000000001</c:v>
                </c:pt>
                <c:pt idx="4">
                  <c:v>99.02000000000001</c:v>
                </c:pt>
                <c:pt idx="5">
                  <c:v>99.02</c:v>
                </c:pt>
                <c:pt idx="6">
                  <c:v>97.76</c:v>
                </c:pt>
                <c:pt idx="7">
                  <c:v>93.460000000000008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5A-776B-4887-866E-47236503253F}"/>
            </c:ext>
          </c:extLst>
        </c:ser>
        <c:dLbls/>
        <c:gapWidth val="35"/>
        <c:overlap val="-1"/>
        <c:axId val="59249408"/>
        <c:axId val="59250944"/>
      </c:barChart>
      <c:catAx>
        <c:axId val="59249408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lnSpc>
                <a:spcPct val="80000"/>
              </a:lnSpc>
              <a:defRPr sz="11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250944"/>
        <c:crosses val="autoZero"/>
        <c:auto val="1"/>
        <c:lblAlgn val="ctr"/>
        <c:lblOffset val="100"/>
      </c:catAx>
      <c:valAx>
        <c:axId val="59250944"/>
        <c:scaling>
          <c:orientation val="minMax"/>
        </c:scaling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24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лед самолета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DF2E28"/>
    </a:accent1>
    <a:accent2>
      <a:srgbClr val="FE801A"/>
    </a:accent2>
    <a:accent3>
      <a:srgbClr val="E9BF35"/>
    </a:accent3>
    <a:accent4>
      <a:srgbClr val="81BB42"/>
    </a:accent4>
    <a:accent5>
      <a:srgbClr val="32C7A9"/>
    </a:accent5>
    <a:accent6>
      <a:srgbClr val="4A9BDC"/>
    </a:accent6>
    <a:hlink>
      <a:srgbClr val="F0532B"/>
    </a:hlink>
    <a:folHlink>
      <a:srgbClr val="F38B53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Анастасия Сергеевна</dc:creator>
  <cp:lastModifiedBy>InterUser</cp:lastModifiedBy>
  <cp:revision>2</cp:revision>
  <dcterms:created xsi:type="dcterms:W3CDTF">2025-07-08T12:23:00Z</dcterms:created>
  <dcterms:modified xsi:type="dcterms:W3CDTF">2025-07-08T12:23:00Z</dcterms:modified>
</cp:coreProperties>
</file>